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424AE6">
      <w:pPr>
        <w:rPr>
          <w:rFonts w:ascii="Times New Roman" w:hAnsi="Times New Roman" w:eastAsia="仿宋_GB2312" w:cs="Times New Roman"/>
          <w:color w:val="111111"/>
          <w:sz w:val="32"/>
          <w:szCs w:val="32"/>
          <w:highlight w:val="none"/>
          <w:shd w:val="clear" w:color="auto" w:fill="FFFFFF"/>
        </w:rPr>
      </w:pPr>
      <w:r>
        <w:rPr>
          <w:rFonts w:hint="eastAsia" w:ascii="Times New Roman" w:hAnsi="Times New Roman" w:eastAsia="仿宋_GB2312" w:cs="Times New Roman"/>
          <w:color w:val="111111"/>
          <w:sz w:val="32"/>
          <w:szCs w:val="32"/>
          <w:highlight w:val="none"/>
          <w:shd w:val="clear" w:color="auto" w:fill="FFFFFF"/>
        </w:rPr>
        <w:t>附件</w:t>
      </w:r>
      <w:r>
        <w:rPr>
          <w:rFonts w:hint="eastAsia" w:ascii="Times New Roman" w:hAnsi="Times New Roman" w:eastAsia="仿宋_GB2312" w:cs="Times New Roman"/>
          <w:color w:val="111111"/>
          <w:sz w:val="32"/>
          <w:szCs w:val="32"/>
          <w:highlight w:val="none"/>
          <w:shd w:val="clear" w:color="auto" w:fill="FFFFFF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color w:val="111111"/>
          <w:sz w:val="32"/>
          <w:szCs w:val="32"/>
          <w:highlight w:val="none"/>
          <w:shd w:val="clear" w:color="auto" w:fill="FFFFFF"/>
        </w:rPr>
        <w:t>：</w:t>
      </w:r>
    </w:p>
    <w:p w14:paraId="5FC5752F">
      <w:pPr>
        <w:jc w:val="center"/>
        <w:rPr>
          <w:rFonts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bidi="ar"/>
        </w:rPr>
      </w:pPr>
      <w:r>
        <w:rPr>
          <w:rFonts w:hint="eastAsia" w:ascii="华文中宋" w:hAnsi="华文中宋" w:eastAsia="华文中宋" w:cs="微软雅黑"/>
          <w:bCs/>
          <w:sz w:val="44"/>
          <w:szCs w:val="44"/>
          <w:highlight w:val="none"/>
        </w:rPr>
        <w:t>综</w:t>
      </w:r>
      <w:r>
        <w:rPr>
          <w:rFonts w:hint="eastAsia" w:ascii="华文中宋" w:hAnsi="华文中宋" w:eastAsia="华文中宋" w:cs="仿宋_GB2312"/>
          <w:bCs/>
          <w:sz w:val="44"/>
          <w:szCs w:val="44"/>
          <w:highlight w:val="none"/>
        </w:rPr>
        <w:t>合评价指标</w:t>
      </w:r>
    </w:p>
    <w:p w14:paraId="636749DE">
      <w:pPr>
        <w:ind w:firstLine="640" w:firstLineChars="200"/>
        <w:jc w:val="left"/>
        <w:rPr>
          <w:rFonts w:ascii="黑体" w:hAnsi="黑体" w:eastAsia="黑体" w:cs="黑体"/>
          <w:color w:val="111111"/>
          <w:sz w:val="32"/>
          <w:szCs w:val="32"/>
          <w:highlight w:val="none"/>
          <w:shd w:val="clear" w:color="auto" w:fill="FFFFFF"/>
        </w:rPr>
      </w:pPr>
      <w:r>
        <w:rPr>
          <w:rFonts w:hint="eastAsia" w:ascii="黑体" w:hAnsi="黑体" w:eastAsia="黑体" w:cs="黑体"/>
          <w:color w:val="111111"/>
          <w:sz w:val="32"/>
          <w:szCs w:val="32"/>
          <w:highlight w:val="none"/>
          <w:shd w:val="clear" w:color="auto" w:fill="FFFFFF"/>
        </w:rPr>
        <w:t>一、经营业绩</w:t>
      </w:r>
    </w:p>
    <w:p w14:paraId="3CFEEC0E">
      <w:pPr>
        <w:ind w:firstLine="640" w:firstLineChars="200"/>
        <w:jc w:val="left"/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银行基本情况；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</w:rPr>
        <w:t>资本充足率（总行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</w:rPr>
        <w:t>或苏州分行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</w:rPr>
        <w:t>）；银行不良贷款率（总行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</w:rPr>
        <w:t>或苏州分行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</w:rPr>
        <w:t>）；拨备覆盖率（总行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</w:rPr>
        <w:t>或苏州分行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</w:rPr>
        <w:t>）；流动性比例（总行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</w:rPr>
        <w:t>或苏州分行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</w:rPr>
        <w:t>）；总部是否设在苏州，是否设在园区；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</w:rPr>
        <w:t>与本地政府、基金及企业的合作情况。</w:t>
      </w:r>
    </w:p>
    <w:p w14:paraId="63404630">
      <w:pPr>
        <w:ind w:firstLine="640" w:firstLineChars="200"/>
        <w:jc w:val="left"/>
        <w:rPr>
          <w:rFonts w:ascii="黑体" w:hAnsi="黑体" w:eastAsia="黑体" w:cs="黑体"/>
          <w:color w:val="111111"/>
          <w:sz w:val="32"/>
          <w:szCs w:val="32"/>
          <w:highlight w:val="none"/>
          <w:shd w:val="clear" w:color="auto" w:fill="FFFFFF"/>
        </w:rPr>
      </w:pPr>
      <w:r>
        <w:rPr>
          <w:rFonts w:hint="eastAsia" w:ascii="黑体" w:hAnsi="黑体" w:eastAsia="黑体" w:cs="黑体"/>
          <w:color w:val="111111"/>
          <w:sz w:val="32"/>
          <w:szCs w:val="32"/>
          <w:highlight w:val="none"/>
          <w:shd w:val="clear" w:color="auto" w:fill="FFFFFF"/>
        </w:rPr>
        <w:t>二、服务经验</w:t>
      </w:r>
    </w:p>
    <w:p w14:paraId="344E975B">
      <w:pPr>
        <w:ind w:firstLine="640" w:firstLineChars="200"/>
        <w:rPr>
          <w:rFonts w:ascii="Times New Roman" w:hAnsi="Times New Roman" w:eastAsia="仿宋_GB2312" w:cs="Times New Roman"/>
          <w:color w:val="111111"/>
          <w:sz w:val="32"/>
          <w:szCs w:val="32"/>
          <w:highlight w:val="none"/>
          <w:shd w:val="clear" w:color="auto" w:fill="FFFFFF"/>
        </w:rPr>
      </w:pPr>
      <w:r>
        <w:rPr>
          <w:rFonts w:ascii="Times New Roman" w:hAnsi="Times New Roman" w:eastAsia="仿宋_GB2312" w:cs="Times New Roman"/>
          <w:color w:val="111111"/>
          <w:sz w:val="32"/>
          <w:szCs w:val="32"/>
          <w:highlight w:val="none"/>
          <w:shd w:val="clear" w:color="auto" w:fill="FFFFFF"/>
        </w:rPr>
        <w:t>私募股权投资基金托管规模（分行）；私募股权投资基金托管数量（分行）；政府投资基金托管规模（分行）；政府投资基金托管数量（分行）；国家级、省级、市级政府投资基金托管经验（分行）。</w:t>
      </w:r>
    </w:p>
    <w:p w14:paraId="41C28F9B">
      <w:pPr>
        <w:ind w:firstLine="640" w:firstLineChars="200"/>
        <w:jc w:val="left"/>
        <w:rPr>
          <w:rFonts w:ascii="黑体" w:hAnsi="黑体" w:eastAsia="黑体" w:cs="黑体"/>
          <w:color w:val="111111"/>
          <w:sz w:val="32"/>
          <w:szCs w:val="32"/>
          <w:highlight w:val="none"/>
          <w:shd w:val="clear" w:color="auto" w:fill="FFFFFF"/>
        </w:rPr>
      </w:pPr>
      <w:r>
        <w:rPr>
          <w:rFonts w:hint="eastAsia" w:ascii="黑体" w:hAnsi="黑体" w:eastAsia="黑体" w:cs="黑体"/>
          <w:color w:val="111111"/>
          <w:sz w:val="32"/>
          <w:szCs w:val="32"/>
          <w:highlight w:val="none"/>
          <w:shd w:val="clear" w:color="auto" w:fill="FFFFFF"/>
        </w:rPr>
        <w:t>三、服务费用</w:t>
      </w:r>
    </w:p>
    <w:p w14:paraId="352800CD">
      <w:pPr>
        <w:ind w:firstLine="640" w:firstLineChars="200"/>
        <w:jc w:val="left"/>
        <w:rPr>
          <w:rFonts w:ascii="Times New Roman" w:hAnsi="Times New Roman" w:eastAsia="仿宋_GB2312" w:cs="Times New Roman"/>
          <w:color w:val="111111"/>
          <w:sz w:val="32"/>
          <w:szCs w:val="32"/>
          <w:highlight w:val="none"/>
          <w:shd w:val="clear" w:color="auto" w:fill="FFFFFF"/>
        </w:rPr>
      </w:pPr>
      <w:r>
        <w:rPr>
          <w:rFonts w:ascii="Times New Roman" w:hAnsi="Times New Roman" w:eastAsia="仿宋_GB2312" w:cs="Times New Roman"/>
          <w:color w:val="111111"/>
          <w:sz w:val="32"/>
          <w:szCs w:val="32"/>
          <w:highlight w:val="none"/>
          <w:shd w:val="clear" w:color="auto" w:fill="FFFFFF"/>
        </w:rPr>
        <w:t>托管费用报价；存款利率</w:t>
      </w:r>
      <w:r>
        <w:rPr>
          <w:rFonts w:hint="eastAsia" w:ascii="Times New Roman" w:hAnsi="Times New Roman" w:eastAsia="仿宋_GB2312" w:cs="Times New Roman"/>
          <w:color w:val="111111"/>
          <w:sz w:val="32"/>
          <w:szCs w:val="32"/>
          <w:highlight w:val="none"/>
          <w:shd w:val="clear" w:color="auto" w:fill="FFFFFF"/>
          <w:lang w:eastAsia="zh-CN"/>
        </w:rPr>
        <w:t>，</w:t>
      </w:r>
      <w:r>
        <w:rPr>
          <w:rFonts w:hint="eastAsia" w:ascii="Times New Roman" w:hAnsi="Times New Roman" w:eastAsia="仿宋_GB2312" w:cs="Times New Roman"/>
          <w:color w:val="111111"/>
          <w:sz w:val="32"/>
          <w:szCs w:val="32"/>
          <w:highlight w:val="none"/>
          <w:shd w:val="clear" w:color="auto" w:fill="FFFFFF"/>
          <w:lang w:val="en-US" w:eastAsia="zh-CN"/>
        </w:rPr>
        <w:t>资金收益方案</w:t>
      </w:r>
      <w:r>
        <w:rPr>
          <w:rFonts w:ascii="Times New Roman" w:hAnsi="Times New Roman" w:eastAsia="仿宋_GB2312" w:cs="Times New Roman"/>
          <w:color w:val="111111"/>
          <w:sz w:val="32"/>
          <w:szCs w:val="32"/>
          <w:highlight w:val="none"/>
          <w:shd w:val="clear" w:color="auto" w:fill="FFFFFF"/>
        </w:rPr>
        <w:t>。</w:t>
      </w:r>
    </w:p>
    <w:p w14:paraId="35444AB6">
      <w:pPr>
        <w:ind w:firstLine="640" w:firstLineChars="200"/>
        <w:jc w:val="left"/>
        <w:rPr>
          <w:rFonts w:ascii="黑体" w:hAnsi="黑体" w:eastAsia="黑体" w:cs="黑体"/>
          <w:color w:val="111111"/>
          <w:sz w:val="32"/>
          <w:szCs w:val="32"/>
          <w:highlight w:val="none"/>
          <w:shd w:val="clear" w:color="auto" w:fill="FFFFFF"/>
        </w:rPr>
      </w:pPr>
      <w:r>
        <w:rPr>
          <w:rFonts w:hint="eastAsia" w:ascii="黑体" w:hAnsi="黑体" w:eastAsia="黑体" w:cs="黑体"/>
          <w:color w:val="111111"/>
          <w:sz w:val="32"/>
          <w:szCs w:val="32"/>
          <w:highlight w:val="none"/>
          <w:shd w:val="clear" w:color="auto" w:fill="FFFFFF"/>
        </w:rPr>
        <w:t>四、定制化服务方案</w:t>
      </w:r>
    </w:p>
    <w:p w14:paraId="1CE0DF79">
      <w:pPr>
        <w:ind w:firstLine="640" w:firstLineChars="200"/>
        <w:jc w:val="left"/>
        <w:rPr>
          <w:rFonts w:ascii="Times New Roman" w:hAnsi="Times New Roman" w:eastAsia="仿宋_GB2312" w:cs="Times New Roman"/>
          <w:color w:val="111111"/>
          <w:sz w:val="32"/>
          <w:szCs w:val="32"/>
          <w:highlight w:val="none"/>
          <w:shd w:val="clear" w:color="auto" w:fill="FFFFFF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基金托管服务及保障、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</w:rPr>
        <w:t>资金风险管控、间隙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</w:rPr>
        <w:t>资金增值管理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</w:rPr>
        <w:t>、应急措施及特色个性化服务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</w:rPr>
        <w:t>等建设性方案。</w:t>
      </w:r>
      <w:r>
        <w:rPr>
          <w:rFonts w:ascii="Times New Roman" w:hAnsi="Times New Roman" w:eastAsia="仿宋_GB2312" w:cs="Times New Roman"/>
          <w:color w:val="111111"/>
          <w:sz w:val="32"/>
          <w:szCs w:val="32"/>
          <w:highlight w:val="none"/>
          <w:shd w:val="clear" w:color="auto" w:fill="FFFFFF"/>
        </w:rPr>
        <w:br w:type="page"/>
      </w:r>
    </w:p>
    <w:p w14:paraId="7A9475C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BF66E4"/>
    <w:rsid w:val="7EBF6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2026-07-30T06:39:00Z</dcterms:created>
  <dc:creator>Puy</dc:creator>
  <cp:lastModifiedBy>Puy</cp:lastModifiedBy>
  <dcterms:modified xsi:type="dcterms:W3CDTF">2026-07-30T06:40:09Z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2052-12.1.0.28040</vt:lpwstr>
  </property>
  <property fmtid="{D5CDD505-2E9C-101B-9397-08002B2CF9AE}" pid="3" name="ICV">
    <vt:lpwstr>E34BBDD4BF5449E2846DECCB3E5EE2C4_11</vt:lpwstr>
  </property>
  <property fmtid="{D5CDD505-2E9C-101B-9397-08002B2CF9AE}" pid="4" name="KSOTemplateDocerSaveRecord">
    <vt:lpwstr>eyJoZGlkIjoiMGJkM2FlNTZkN2VlZmFiZWU2MTc4ODc2MmU3NjViODIiLCJ1c2VySWQiOiIzMjc3ODQzMjUifQ==</vt:lpwstr>
  </property>
</Properties>
</file>